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537EE" w14:textId="1A15C44F" w:rsidR="001B0A98" w:rsidRPr="005C12C4" w:rsidRDefault="001B0A98" w:rsidP="001B0A98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Instalace </w:t>
      </w:r>
      <w:r w:rsidR="00A90898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trvá</w:t>
      </w:r>
      <w:r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pouhých pět minut a ovládá se aplikací. Schneider Electric představuje Charge, chytrou nabíječku pro elektromobil</w:t>
      </w:r>
    </w:p>
    <w:p w14:paraId="2F4F6B38" w14:textId="77777777" w:rsidR="001B0A98" w:rsidRPr="005C12C4" w:rsidRDefault="001B0A98" w:rsidP="001B0A98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C12C4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14D1214F" w14:textId="7E2402FE" w:rsidR="001B0A98" w:rsidRPr="00E01910" w:rsidRDefault="001B0A98" w:rsidP="00044446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l-GR"/>
        </w:rPr>
      </w:pPr>
      <w:r w:rsidRPr="0004444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Praha</w:t>
      </w:r>
      <w:r w:rsidR="0004444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, </w:t>
      </w:r>
      <w:r w:rsidR="00044446" w:rsidRPr="0004444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26</w:t>
      </w:r>
      <w:r w:rsidRPr="0004444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března 2024 – </w:t>
      </w:r>
      <w:r w:rsidRPr="00044446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>Nová</w:t>
      </w:r>
      <w:r w:rsidRPr="00E92733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 xml:space="preserve"> nabíjecí stanice </w:t>
      </w:r>
      <w:r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 xml:space="preserve">Schneider </w:t>
      </w:r>
      <w:r w:rsidRPr="00E92733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>Charge od Schneider Electric představuje špičku v domácím nabíjení elektromobilů. Instalace je snadná</w:t>
      </w:r>
      <w:r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>, zabere pouhých pět minut</w:t>
      </w:r>
      <w:r w:rsidRPr="00E92733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 xml:space="preserve"> a stanici lze umístit prakticky kdekoliv. Ovládání probíhá pomocí mobilní aplikace, která umožňuje další nastavení. </w:t>
      </w:r>
      <w:r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>P</w:t>
      </w:r>
      <w:r w:rsidRPr="00E92733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 xml:space="preserve">ořízení Schneider Charge </w:t>
      </w:r>
      <w:r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>představuje</w:t>
      </w:r>
      <w:r w:rsidRPr="00E92733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 xml:space="preserve"> </w:t>
      </w:r>
      <w:r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 xml:space="preserve">v éře elektromobility </w:t>
      </w:r>
      <w:r w:rsidRPr="00E92733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 xml:space="preserve">pohodlný a efektivní způsob nabíjení elektromobilu, investici do budoucnosti a </w:t>
      </w:r>
      <w:r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>na</w:t>
      </w:r>
      <w:r w:rsidRPr="00E92733">
        <w:rPr>
          <w:rFonts w:ascii="Arial" w:eastAsiaTheme="minorHAnsi" w:hAnsi="Arial" w:cs="Arial"/>
          <w:b/>
          <w:bCs/>
          <w:sz w:val="20"/>
          <w:szCs w:val="20"/>
          <w:lang w:val="cs-CZ" w:eastAsia="cs-CZ"/>
        </w:rPr>
        <w:t>výšení hodnoty nemovitosti.</w:t>
      </w:r>
    </w:p>
    <w:p w14:paraId="35F77EA2" w14:textId="77777777" w:rsidR="001B0A98" w:rsidRPr="00E92733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cs-CZ" w:eastAsia="cs-CZ"/>
        </w:rPr>
      </w:pPr>
    </w:p>
    <w:p w14:paraId="72C1E9C3" w14:textId="5FA003D1" w:rsidR="001B0A98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el-GR" w:eastAsia="cs-CZ"/>
        </w:rPr>
      </w:pPr>
      <w:r w:rsidRPr="00DD21D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„Jednou z největších předností této nabíjecí stanice je možnost ovládání pomocí mobilní aplikace. Stačí si stáhnout aplikaci M</w:t>
      </w:r>
      <w:r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onta</w:t>
      </w:r>
      <w:r w:rsidRPr="00DD21D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 xml:space="preserve"> nebo jakoukoliv jinou aplikaci třetích stran, která </w:t>
      </w:r>
      <w:r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je se zařízením kompatibilní</w:t>
      </w:r>
      <w:r w:rsidRPr="00DD21D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 xml:space="preserve">, a uživatel získá rozšířenou kontrolu nad nabíjením svého elektromobilu. Může například nastavit, kdy se má vůz automaticky začít nabíjet nebo kdy chce, aby bylo jeho auto připravené k jízdě. </w:t>
      </w:r>
      <w:r w:rsidR="00B266F0" w:rsidRPr="001B784B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 xml:space="preserve">Nabíjení si tak </w:t>
      </w:r>
      <w:r w:rsidR="00B266F0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lze</w:t>
      </w:r>
      <w:r w:rsidR="00B266F0" w:rsidRPr="001B784B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 xml:space="preserve"> naplánovat na dobu, kdy je elektřina nejlevnější a ekologicky nejšetrnější</w:t>
      </w:r>
      <w:r w:rsidR="00B266F0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.</w:t>
      </w:r>
      <w:r w:rsidR="00B266F0" w:rsidRPr="00DD21D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 xml:space="preserve"> </w:t>
      </w:r>
      <w:r w:rsidRPr="00DD21D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Aplikace také umožní vzdáleně spustit nebo zastavit nabíjení, autorizovat přístup ke stanici pomocí telefonu, nebo dokonce sdílet stanici s rodinou či přáteli</w:t>
      </w:r>
      <w:r w:rsidR="001B784B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,</w:t>
      </w:r>
      <w:r w:rsidRPr="001B784B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“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 vysvětluje </w:t>
      </w:r>
      <w:r w:rsidRPr="00484EAE">
        <w:rPr>
          <w:rFonts w:ascii="Arial" w:eastAsiaTheme="minorHAnsi" w:hAnsi="Arial" w:cs="Arial"/>
          <w:sz w:val="20"/>
          <w:szCs w:val="20"/>
          <w:lang w:val="cs-CZ" w:eastAsia="cs-CZ"/>
        </w:rPr>
        <w:t>expert na elektromobilitu ze společnosti Schneider Electric, Leoš Kabát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.</w:t>
      </w:r>
    </w:p>
    <w:p w14:paraId="1431C0AC" w14:textId="77777777" w:rsidR="001B0A98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el-GR" w:eastAsia="cs-CZ"/>
        </w:rPr>
      </w:pPr>
    </w:p>
    <w:p w14:paraId="53B95070" w14:textId="09A5E671" w:rsidR="001B0A98" w:rsidRPr="00C46402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el-GR" w:eastAsia="cs-CZ"/>
        </w:rPr>
      </w:pPr>
      <w:r>
        <w:rPr>
          <w:rFonts w:ascii="Arial" w:eastAsiaTheme="minorHAnsi" w:hAnsi="Arial" w:cs="Arial"/>
          <w:sz w:val="20"/>
          <w:szCs w:val="20"/>
          <w:lang w:val="cs-CZ" w:eastAsia="cs-CZ"/>
        </w:rPr>
        <w:t>D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íky třem možnostem vedení kabelu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– 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spodnímu, hornímu nebo zadnímu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lze s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tanici umístit prakticky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kdekoliv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. Nezáleží na tom, zda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jsou stěny domu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dřevěné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 či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betonové, Schneider Charge se přizpůsobí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. 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Schneider Electric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navíc poskytuje 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technickou podporu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při 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>instalac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i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, používání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i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údržb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ě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nabíjecí stanice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.</w:t>
      </w:r>
    </w:p>
    <w:p w14:paraId="074FBD3F" w14:textId="77777777" w:rsidR="001B0A98" w:rsidRPr="00E92733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cs-CZ" w:eastAsia="cs-CZ"/>
        </w:rPr>
      </w:pPr>
    </w:p>
    <w:p w14:paraId="191BC439" w14:textId="304C30F8" w:rsidR="001B0A98" w:rsidRDefault="00000000" w:rsidP="00044446">
      <w:pPr>
        <w:jc w:val="both"/>
        <w:rPr>
          <w:rFonts w:ascii="Arial" w:eastAsiaTheme="minorHAnsi" w:hAnsi="Arial" w:cs="Arial"/>
          <w:sz w:val="20"/>
          <w:szCs w:val="20"/>
          <w:lang w:val="cs-CZ" w:eastAsia="cs-CZ"/>
        </w:rPr>
      </w:pPr>
      <w:hyperlink r:id="rId11" w:history="1">
        <w:r w:rsidR="001B0A98" w:rsidRPr="00484EAE">
          <w:rPr>
            <w:rStyle w:val="Hypertextovodkaz"/>
            <w:rFonts w:ascii="Arial" w:eastAsiaTheme="minorHAnsi" w:hAnsi="Arial" w:cs="Arial"/>
            <w:sz w:val="20"/>
            <w:szCs w:val="20"/>
            <w:lang w:val="cs-CZ" w:eastAsia="cs-CZ"/>
          </w:rPr>
          <w:t>Schneider Charge</w:t>
        </w:r>
      </w:hyperlink>
      <w:r w:rsidR="001B0A98"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</w:t>
      </w:r>
      <w:r w:rsidR="00A90898">
        <w:rPr>
          <w:rFonts w:ascii="Arial" w:eastAsiaTheme="minorHAnsi" w:hAnsi="Arial" w:cs="Arial"/>
          <w:sz w:val="20"/>
          <w:szCs w:val="20"/>
          <w:lang w:val="cs-CZ" w:eastAsia="cs-CZ"/>
        </w:rPr>
        <w:t>si můžete pořídit společně s</w:t>
      </w:r>
      <w:r w:rsidR="009F736C">
        <w:rPr>
          <w:rFonts w:ascii="Arial" w:eastAsiaTheme="minorHAnsi" w:hAnsi="Arial" w:cs="Arial"/>
          <w:sz w:val="20"/>
          <w:szCs w:val="20"/>
          <w:lang w:val="cs-CZ" w:eastAsia="cs-CZ"/>
        </w:rPr>
        <w:t xml:space="preserve"> Peak </w:t>
      </w:r>
      <w:r w:rsidR="00A90898">
        <w:rPr>
          <w:rFonts w:ascii="Arial" w:eastAsiaTheme="minorHAnsi" w:hAnsi="Arial" w:cs="Arial"/>
          <w:sz w:val="20"/>
          <w:szCs w:val="20"/>
          <w:lang w:val="cs-CZ" w:eastAsia="cs-CZ"/>
        </w:rPr>
        <w:t xml:space="preserve">kontrolérem, který ochrání </w:t>
      </w:r>
      <w:r w:rsidR="009F736C">
        <w:rPr>
          <w:rFonts w:ascii="Arial" w:eastAsiaTheme="minorHAnsi" w:hAnsi="Arial" w:cs="Arial"/>
          <w:sz w:val="20"/>
          <w:szCs w:val="20"/>
          <w:lang w:val="cs-CZ" w:eastAsia="cs-CZ"/>
        </w:rPr>
        <w:t>vaši</w:t>
      </w:r>
      <w:r w:rsidR="001B0A98"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domácnost před přetížením elektrické sítě. Díky kontroléru stanice automaticky reguluje svůj výkon s ohledem na aktuální odběr energie v domě. </w:t>
      </w:r>
      <w:r w:rsidR="001B0A98">
        <w:rPr>
          <w:rFonts w:ascii="Arial" w:eastAsiaTheme="minorHAnsi" w:hAnsi="Arial" w:cs="Arial"/>
          <w:sz w:val="20"/>
          <w:szCs w:val="20"/>
          <w:lang w:val="cs-CZ" w:eastAsia="cs-CZ"/>
        </w:rPr>
        <w:t>Nabíjení vozu tak nemůže způsobit</w:t>
      </w:r>
      <w:r w:rsidR="001B0A98"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výpadek proudu </w:t>
      </w:r>
      <w:r w:rsidR="001B0A98">
        <w:rPr>
          <w:rFonts w:ascii="Arial" w:eastAsiaTheme="minorHAnsi" w:hAnsi="Arial" w:cs="Arial"/>
          <w:sz w:val="20"/>
          <w:szCs w:val="20"/>
          <w:lang w:val="cs-CZ" w:eastAsia="cs-CZ"/>
        </w:rPr>
        <w:t>či</w:t>
      </w:r>
      <w:r w:rsidR="001B0A98"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pošk</w:t>
      </w:r>
      <w:r w:rsidR="001B0A98">
        <w:rPr>
          <w:rFonts w:ascii="Arial" w:eastAsiaTheme="minorHAnsi" w:hAnsi="Arial" w:cs="Arial"/>
          <w:sz w:val="20"/>
          <w:szCs w:val="20"/>
          <w:lang w:val="cs-CZ" w:eastAsia="cs-CZ"/>
        </w:rPr>
        <w:t>odit</w:t>
      </w:r>
      <w:r w:rsidR="001B0A98"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spotřebič</w:t>
      </w:r>
      <w:r w:rsidR="001B0A98">
        <w:rPr>
          <w:rFonts w:ascii="Arial" w:eastAsiaTheme="minorHAnsi" w:hAnsi="Arial" w:cs="Arial"/>
          <w:sz w:val="20"/>
          <w:szCs w:val="20"/>
          <w:lang w:val="cs-CZ" w:eastAsia="cs-CZ"/>
        </w:rPr>
        <w:t>e</w:t>
      </w:r>
      <w:r w:rsidR="001B0A98" w:rsidRPr="00E92733">
        <w:rPr>
          <w:rFonts w:ascii="Arial" w:eastAsiaTheme="minorHAnsi" w:hAnsi="Arial" w:cs="Arial"/>
          <w:sz w:val="20"/>
          <w:szCs w:val="20"/>
          <w:lang w:val="cs-CZ" w:eastAsia="cs-CZ"/>
        </w:rPr>
        <w:t>. Stanice přizpůsobí rychlost nabíjení tak, aby byla domácnost vždy zásobena dostatkem elektřiny.</w:t>
      </w:r>
      <w:r w:rsidR="001B0A98" w:rsidRPr="00C96C05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</w:t>
      </w:r>
    </w:p>
    <w:p w14:paraId="59438A3C" w14:textId="77777777" w:rsidR="001B0A98" w:rsidRPr="00E92733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cs-CZ" w:eastAsia="cs-CZ"/>
        </w:rPr>
      </w:pPr>
    </w:p>
    <w:p w14:paraId="0F1AFD3C" w14:textId="0B2CDA70" w:rsidR="001B0A98" w:rsidRPr="00E92733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cs-CZ" w:eastAsia="cs-CZ"/>
        </w:rPr>
      </w:pPr>
      <w:r w:rsidRPr="00DD21D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„Balení nabíjecí stanice je vyrobeno z recyklovatelných materiálů a je navrženo tak, aby bylo minimalizováno množství odpadu. Samotná stanice je vysoce energeticky účinná a podporuje využívání obnovitelných zdrojů energie</w:t>
      </w:r>
      <w:r w:rsidR="00BD17C8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. Na její pořízení a instalaci může</w:t>
      </w:r>
      <w:r w:rsidR="004937F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 xml:space="preserve"> majitel</w:t>
      </w:r>
      <w:r w:rsidR="00BD17C8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 xml:space="preserve"> </w:t>
      </w:r>
      <w:r w:rsidR="004937F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čerpat dotace, což je určitě výhodou</w:t>
      </w:r>
      <w:r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,</w:t>
      </w:r>
      <w:r w:rsidRPr="00DD21D3">
        <w:rPr>
          <w:rFonts w:ascii="Arial" w:eastAsiaTheme="minorHAnsi" w:hAnsi="Arial" w:cs="Arial"/>
          <w:i/>
          <w:iCs/>
          <w:sz w:val="20"/>
          <w:szCs w:val="20"/>
          <w:lang w:val="cs-CZ" w:eastAsia="cs-CZ"/>
        </w:rPr>
        <w:t>“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 </w:t>
      </w:r>
      <w:r w:rsidRPr="001B0A98">
        <w:rPr>
          <w:rFonts w:ascii="Arial" w:eastAsiaTheme="minorHAnsi" w:hAnsi="Arial" w:cs="Arial"/>
          <w:sz w:val="20"/>
          <w:szCs w:val="20"/>
          <w:lang w:val="cs-CZ" w:eastAsia="cs-CZ"/>
        </w:rPr>
        <w:t>doplňuje Leoš Kabát.</w:t>
      </w:r>
    </w:p>
    <w:p w14:paraId="1971ADAF" w14:textId="77777777" w:rsidR="001B0A98" w:rsidRPr="00E92733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cs-CZ" w:eastAsia="cs-CZ"/>
        </w:rPr>
      </w:pPr>
    </w:p>
    <w:p w14:paraId="3920BF9B" w14:textId="3F9208A3" w:rsidR="001B0A98" w:rsidRPr="0096784F" w:rsidRDefault="001B0A98" w:rsidP="00044446">
      <w:pPr>
        <w:jc w:val="both"/>
        <w:rPr>
          <w:rFonts w:ascii="Arial" w:eastAsiaTheme="minorHAnsi" w:hAnsi="Arial" w:cs="Arial"/>
          <w:sz w:val="20"/>
          <w:szCs w:val="20"/>
          <w:lang w:val="cs-CZ" w:eastAsia="cs-CZ"/>
        </w:rPr>
      </w:pP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Pořízením nabíjecí stanice </w:t>
      </w:r>
      <w:r w:rsidR="00BD17C8" w:rsidRPr="00E92733">
        <w:rPr>
          <w:rFonts w:ascii="Arial" w:eastAsiaTheme="minorHAnsi" w:hAnsi="Arial" w:cs="Arial"/>
          <w:sz w:val="20"/>
          <w:szCs w:val="20"/>
          <w:lang w:val="cs-CZ" w:eastAsia="cs-CZ"/>
        </w:rPr>
        <w:t>Schneider Charge</w:t>
      </w:r>
      <w:r w:rsidR="00BD17C8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se uživateli dostává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nejen pohodln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ého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a efektivní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ho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způsob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u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nabíjení elektromobilu, ale také investic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>e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 do budoucnosti. Stanice se stane nedílnou součástí chytrého domova a poskytne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vyšší 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 xml:space="preserve">kontrolu nad spotřebou 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elektrické </w:t>
      </w:r>
      <w:r w:rsidRPr="00E92733">
        <w:rPr>
          <w:rFonts w:ascii="Arial" w:eastAsiaTheme="minorHAnsi" w:hAnsi="Arial" w:cs="Arial"/>
          <w:sz w:val="20"/>
          <w:szCs w:val="20"/>
          <w:lang w:val="cs-CZ" w:eastAsia="cs-CZ"/>
        </w:rPr>
        <w:t>energie. Zároveň zvýší hodnotu nemovitosti</w:t>
      </w:r>
      <w:r>
        <w:rPr>
          <w:rFonts w:ascii="Arial" w:eastAsiaTheme="minorHAnsi" w:hAnsi="Arial" w:cs="Arial"/>
          <w:sz w:val="20"/>
          <w:szCs w:val="20"/>
          <w:lang w:val="cs-CZ" w:eastAsia="cs-CZ"/>
        </w:rPr>
        <w:t xml:space="preserve"> v době, kdy čím dál tím více lidí vlastní elektromobil. </w:t>
      </w:r>
    </w:p>
    <w:p w14:paraId="552F507C" w14:textId="77777777" w:rsidR="001B0A98" w:rsidRDefault="001B0A98" w:rsidP="0089766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DA52573" w14:textId="7874DAAF" w:rsidR="00A75F21" w:rsidRDefault="00A75F21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08277DF" w14:textId="77777777" w:rsidR="001B0A98" w:rsidRDefault="001B0A9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72B64B9" w14:textId="77777777" w:rsidR="001B0A98" w:rsidRDefault="001B0A9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68569BD5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BF4DE0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2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64FA1161" w:rsidR="009E6D99" w:rsidRPr="00A65A9F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A65A9F">
      <w:headerReference w:type="default" r:id="rId27"/>
      <w:footerReference w:type="default" r:id="rId28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A71BF" w14:textId="77777777" w:rsidR="001C5926" w:rsidRDefault="001C5926">
      <w:r>
        <w:separator/>
      </w:r>
    </w:p>
  </w:endnote>
  <w:endnote w:type="continuationSeparator" w:id="0">
    <w:p w14:paraId="4084436C" w14:textId="77777777" w:rsidR="001C5926" w:rsidRDefault="001C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3904BE5E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042E9402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95EF7" w14:textId="77777777" w:rsidR="001C5926" w:rsidRDefault="001C5926">
      <w:r>
        <w:separator/>
      </w:r>
    </w:p>
  </w:footnote>
  <w:footnote w:type="continuationSeparator" w:id="0">
    <w:p w14:paraId="4E115290" w14:textId="77777777" w:rsidR="001C5926" w:rsidRDefault="001C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2406A"/>
    <w:rsid w:val="00033696"/>
    <w:rsid w:val="00034E8B"/>
    <w:rsid w:val="0004133C"/>
    <w:rsid w:val="00044446"/>
    <w:rsid w:val="00046880"/>
    <w:rsid w:val="00060DA9"/>
    <w:rsid w:val="0007571E"/>
    <w:rsid w:val="000813F0"/>
    <w:rsid w:val="00095852"/>
    <w:rsid w:val="000B4C41"/>
    <w:rsid w:val="000C1172"/>
    <w:rsid w:val="000C405E"/>
    <w:rsid w:val="000E064D"/>
    <w:rsid w:val="00103E51"/>
    <w:rsid w:val="00110892"/>
    <w:rsid w:val="0011216F"/>
    <w:rsid w:val="00116D71"/>
    <w:rsid w:val="00122B61"/>
    <w:rsid w:val="001243AF"/>
    <w:rsid w:val="0014065B"/>
    <w:rsid w:val="0015160E"/>
    <w:rsid w:val="00155413"/>
    <w:rsid w:val="0016277C"/>
    <w:rsid w:val="0016744A"/>
    <w:rsid w:val="0017349A"/>
    <w:rsid w:val="00182269"/>
    <w:rsid w:val="00187561"/>
    <w:rsid w:val="00190BE7"/>
    <w:rsid w:val="001A6A83"/>
    <w:rsid w:val="001B0A98"/>
    <w:rsid w:val="001B5B2D"/>
    <w:rsid w:val="001B784B"/>
    <w:rsid w:val="001C39B2"/>
    <w:rsid w:val="001C5926"/>
    <w:rsid w:val="001D4419"/>
    <w:rsid w:val="001E4859"/>
    <w:rsid w:val="001F0392"/>
    <w:rsid w:val="001F3E1F"/>
    <w:rsid w:val="00203239"/>
    <w:rsid w:val="002109DB"/>
    <w:rsid w:val="00214696"/>
    <w:rsid w:val="00221053"/>
    <w:rsid w:val="00226F2B"/>
    <w:rsid w:val="002346E6"/>
    <w:rsid w:val="00246608"/>
    <w:rsid w:val="002542A6"/>
    <w:rsid w:val="00256226"/>
    <w:rsid w:val="002853FB"/>
    <w:rsid w:val="00290B64"/>
    <w:rsid w:val="002961AB"/>
    <w:rsid w:val="002D1F0B"/>
    <w:rsid w:val="002E257F"/>
    <w:rsid w:val="002F53C0"/>
    <w:rsid w:val="003025A0"/>
    <w:rsid w:val="00305C77"/>
    <w:rsid w:val="00311D78"/>
    <w:rsid w:val="00322EB0"/>
    <w:rsid w:val="00322F61"/>
    <w:rsid w:val="00345257"/>
    <w:rsid w:val="003456E8"/>
    <w:rsid w:val="00347AB6"/>
    <w:rsid w:val="00351A30"/>
    <w:rsid w:val="0037001A"/>
    <w:rsid w:val="00370A8C"/>
    <w:rsid w:val="003B1518"/>
    <w:rsid w:val="003B78AE"/>
    <w:rsid w:val="003C6DD9"/>
    <w:rsid w:val="003E7428"/>
    <w:rsid w:val="00405D87"/>
    <w:rsid w:val="00426239"/>
    <w:rsid w:val="00426C25"/>
    <w:rsid w:val="004373A3"/>
    <w:rsid w:val="0044352C"/>
    <w:rsid w:val="00447941"/>
    <w:rsid w:val="00453EEA"/>
    <w:rsid w:val="00454AF8"/>
    <w:rsid w:val="004937F3"/>
    <w:rsid w:val="00494ABA"/>
    <w:rsid w:val="004A313A"/>
    <w:rsid w:val="004B1BEF"/>
    <w:rsid w:val="004D0C89"/>
    <w:rsid w:val="004D3DAA"/>
    <w:rsid w:val="004E659A"/>
    <w:rsid w:val="004E7FE0"/>
    <w:rsid w:val="0051067C"/>
    <w:rsid w:val="00512488"/>
    <w:rsid w:val="00521847"/>
    <w:rsid w:val="00523BD8"/>
    <w:rsid w:val="00533119"/>
    <w:rsid w:val="00533F5C"/>
    <w:rsid w:val="005451D7"/>
    <w:rsid w:val="00547D90"/>
    <w:rsid w:val="005510EE"/>
    <w:rsid w:val="00570083"/>
    <w:rsid w:val="00571514"/>
    <w:rsid w:val="0058271E"/>
    <w:rsid w:val="005831B3"/>
    <w:rsid w:val="00594EF6"/>
    <w:rsid w:val="005A44B5"/>
    <w:rsid w:val="005B207E"/>
    <w:rsid w:val="005D60B9"/>
    <w:rsid w:val="005E73AC"/>
    <w:rsid w:val="005E76E2"/>
    <w:rsid w:val="006034D5"/>
    <w:rsid w:val="00623F75"/>
    <w:rsid w:val="006303E4"/>
    <w:rsid w:val="006329B0"/>
    <w:rsid w:val="00634E1C"/>
    <w:rsid w:val="00655904"/>
    <w:rsid w:val="00671591"/>
    <w:rsid w:val="006737A7"/>
    <w:rsid w:val="00691288"/>
    <w:rsid w:val="006917F4"/>
    <w:rsid w:val="006935C2"/>
    <w:rsid w:val="006A3A9C"/>
    <w:rsid w:val="006C2818"/>
    <w:rsid w:val="006C45A6"/>
    <w:rsid w:val="006D35F6"/>
    <w:rsid w:val="006D49D3"/>
    <w:rsid w:val="006F1795"/>
    <w:rsid w:val="006F58C2"/>
    <w:rsid w:val="0070637B"/>
    <w:rsid w:val="0071532F"/>
    <w:rsid w:val="007202A0"/>
    <w:rsid w:val="007501DB"/>
    <w:rsid w:val="007525BC"/>
    <w:rsid w:val="00753F32"/>
    <w:rsid w:val="00762CCA"/>
    <w:rsid w:val="00764721"/>
    <w:rsid w:val="00792D50"/>
    <w:rsid w:val="007A5CFF"/>
    <w:rsid w:val="007B1C7B"/>
    <w:rsid w:val="007B37C4"/>
    <w:rsid w:val="007B62F3"/>
    <w:rsid w:val="007E1277"/>
    <w:rsid w:val="007F2660"/>
    <w:rsid w:val="007F297D"/>
    <w:rsid w:val="00800113"/>
    <w:rsid w:val="00805C1D"/>
    <w:rsid w:val="00807535"/>
    <w:rsid w:val="00830B6A"/>
    <w:rsid w:val="00841D52"/>
    <w:rsid w:val="00842632"/>
    <w:rsid w:val="00860E1D"/>
    <w:rsid w:val="008649FA"/>
    <w:rsid w:val="00886F2A"/>
    <w:rsid w:val="0089766F"/>
    <w:rsid w:val="008A3D47"/>
    <w:rsid w:val="008B3F12"/>
    <w:rsid w:val="008C04AD"/>
    <w:rsid w:val="008D2290"/>
    <w:rsid w:val="008D2324"/>
    <w:rsid w:val="008D5602"/>
    <w:rsid w:val="008E0E4B"/>
    <w:rsid w:val="008F2B54"/>
    <w:rsid w:val="008F36EF"/>
    <w:rsid w:val="00912492"/>
    <w:rsid w:val="009135F7"/>
    <w:rsid w:val="009242C0"/>
    <w:rsid w:val="0093304E"/>
    <w:rsid w:val="00942E09"/>
    <w:rsid w:val="009464CF"/>
    <w:rsid w:val="009505BB"/>
    <w:rsid w:val="009805A6"/>
    <w:rsid w:val="009879B0"/>
    <w:rsid w:val="00990DAC"/>
    <w:rsid w:val="009957EC"/>
    <w:rsid w:val="009C4904"/>
    <w:rsid w:val="009E6D99"/>
    <w:rsid w:val="009F31F1"/>
    <w:rsid w:val="009F67DE"/>
    <w:rsid w:val="009F6C7C"/>
    <w:rsid w:val="009F736C"/>
    <w:rsid w:val="00A00598"/>
    <w:rsid w:val="00A04A27"/>
    <w:rsid w:val="00A2041A"/>
    <w:rsid w:val="00A30B1E"/>
    <w:rsid w:val="00A35B6A"/>
    <w:rsid w:val="00A442E7"/>
    <w:rsid w:val="00A46B95"/>
    <w:rsid w:val="00A54A4A"/>
    <w:rsid w:val="00A65A9F"/>
    <w:rsid w:val="00A665E7"/>
    <w:rsid w:val="00A75F21"/>
    <w:rsid w:val="00A76ED2"/>
    <w:rsid w:val="00A877E3"/>
    <w:rsid w:val="00A90898"/>
    <w:rsid w:val="00AA0425"/>
    <w:rsid w:val="00AB3FEC"/>
    <w:rsid w:val="00AB5E56"/>
    <w:rsid w:val="00AE2E17"/>
    <w:rsid w:val="00AE3244"/>
    <w:rsid w:val="00AE6BCF"/>
    <w:rsid w:val="00AF4E5A"/>
    <w:rsid w:val="00B13CDE"/>
    <w:rsid w:val="00B200C9"/>
    <w:rsid w:val="00B266F0"/>
    <w:rsid w:val="00B315B8"/>
    <w:rsid w:val="00B317D0"/>
    <w:rsid w:val="00B40176"/>
    <w:rsid w:val="00B53537"/>
    <w:rsid w:val="00B67324"/>
    <w:rsid w:val="00B801E1"/>
    <w:rsid w:val="00BA5822"/>
    <w:rsid w:val="00BB5F02"/>
    <w:rsid w:val="00BC01E2"/>
    <w:rsid w:val="00BC1248"/>
    <w:rsid w:val="00BD17C8"/>
    <w:rsid w:val="00BF4DE0"/>
    <w:rsid w:val="00BF5E87"/>
    <w:rsid w:val="00C24885"/>
    <w:rsid w:val="00C47389"/>
    <w:rsid w:val="00C5284D"/>
    <w:rsid w:val="00C658AF"/>
    <w:rsid w:val="00C73DE1"/>
    <w:rsid w:val="00C8780A"/>
    <w:rsid w:val="00CA3EBF"/>
    <w:rsid w:val="00CA707C"/>
    <w:rsid w:val="00CB10F7"/>
    <w:rsid w:val="00CB71CF"/>
    <w:rsid w:val="00CC0701"/>
    <w:rsid w:val="00CC1A16"/>
    <w:rsid w:val="00CC3B25"/>
    <w:rsid w:val="00CD00AE"/>
    <w:rsid w:val="00CD3615"/>
    <w:rsid w:val="00CE01CA"/>
    <w:rsid w:val="00D00A46"/>
    <w:rsid w:val="00D14AE0"/>
    <w:rsid w:val="00D15AB3"/>
    <w:rsid w:val="00D234F6"/>
    <w:rsid w:val="00D2698D"/>
    <w:rsid w:val="00D30663"/>
    <w:rsid w:val="00D311E0"/>
    <w:rsid w:val="00D32984"/>
    <w:rsid w:val="00D36E84"/>
    <w:rsid w:val="00D36F4D"/>
    <w:rsid w:val="00D40DD0"/>
    <w:rsid w:val="00D434C2"/>
    <w:rsid w:val="00D62769"/>
    <w:rsid w:val="00D6435F"/>
    <w:rsid w:val="00D6467E"/>
    <w:rsid w:val="00D84919"/>
    <w:rsid w:val="00DA3A9F"/>
    <w:rsid w:val="00DC56E9"/>
    <w:rsid w:val="00DC5CA1"/>
    <w:rsid w:val="00DD46F6"/>
    <w:rsid w:val="00DD6FDD"/>
    <w:rsid w:val="00DF1F80"/>
    <w:rsid w:val="00E0326D"/>
    <w:rsid w:val="00E3231F"/>
    <w:rsid w:val="00E44E8F"/>
    <w:rsid w:val="00E66281"/>
    <w:rsid w:val="00E73ED3"/>
    <w:rsid w:val="00E73F4D"/>
    <w:rsid w:val="00E802B8"/>
    <w:rsid w:val="00E82E0E"/>
    <w:rsid w:val="00E874BB"/>
    <w:rsid w:val="00EA1E97"/>
    <w:rsid w:val="00EA2A2E"/>
    <w:rsid w:val="00EA4589"/>
    <w:rsid w:val="00EB3965"/>
    <w:rsid w:val="00ED2C2A"/>
    <w:rsid w:val="00ED4862"/>
    <w:rsid w:val="00EF6B6A"/>
    <w:rsid w:val="00F056E1"/>
    <w:rsid w:val="00F06459"/>
    <w:rsid w:val="00F16DD7"/>
    <w:rsid w:val="00F16ED1"/>
    <w:rsid w:val="00F364E8"/>
    <w:rsid w:val="00F63007"/>
    <w:rsid w:val="00F64012"/>
    <w:rsid w:val="00F66CEE"/>
    <w:rsid w:val="00F67F7B"/>
    <w:rsid w:val="00F7490C"/>
    <w:rsid w:val="00F80E0F"/>
    <w:rsid w:val="00F82B94"/>
    <w:rsid w:val="00F83315"/>
    <w:rsid w:val="00F917E0"/>
    <w:rsid w:val="00F93FAA"/>
    <w:rsid w:val="00FB2A8E"/>
    <w:rsid w:val="00FB3C16"/>
    <w:rsid w:val="00FB6729"/>
    <w:rsid w:val="00FE4C4B"/>
    <w:rsid w:val="081AF3A8"/>
    <w:rsid w:val="26B8E7D2"/>
    <w:rsid w:val="2DDA14A8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work/campaign/life-is-on/life-is-on.jsp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SchneiderElectric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facebook.com/SchneiderElectricCZ/?brand_redir=597372713700290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product-range/161147017-schneider-charge/?parent-subcategory-id=80408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FED00D5D-DF69-4114-9F7F-D8D16863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6</cp:revision>
  <cp:lastPrinted>2023-09-12T13:06:00Z</cp:lastPrinted>
  <dcterms:created xsi:type="dcterms:W3CDTF">2024-03-15T08:19:00Z</dcterms:created>
  <dcterms:modified xsi:type="dcterms:W3CDTF">2024-03-26T09:07:00Z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